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8709" w14:textId="2EBA1DBE" w:rsidR="00E457C6" w:rsidRPr="0092743F" w:rsidRDefault="00E457C6" w:rsidP="00064787">
      <w:pPr>
        <w:rPr>
          <w:sz w:val="22"/>
          <w:szCs w:val="22"/>
        </w:rPr>
      </w:pPr>
    </w:p>
    <w:p w14:paraId="6FFBA367" w14:textId="605E9AA1" w:rsidR="0092743F" w:rsidRPr="0092743F" w:rsidRDefault="0092743F" w:rsidP="0092743F">
      <w:pPr>
        <w:jc w:val="right"/>
        <w:rPr>
          <w:sz w:val="22"/>
          <w:szCs w:val="22"/>
        </w:rPr>
      </w:pPr>
      <w:r w:rsidRPr="0092743F">
        <w:rPr>
          <w:sz w:val="22"/>
          <w:szCs w:val="22"/>
        </w:rPr>
        <w:t>Lobos, 07 de enero del 2026</w:t>
      </w:r>
    </w:p>
    <w:p w14:paraId="5EC50B5B" w14:textId="32BB75FF" w:rsidR="0092743F" w:rsidRPr="0092743F" w:rsidRDefault="0092743F" w:rsidP="0092743F">
      <w:pPr>
        <w:rPr>
          <w:sz w:val="22"/>
          <w:szCs w:val="22"/>
        </w:rPr>
      </w:pPr>
      <w:r w:rsidRPr="0092743F">
        <w:rPr>
          <w:sz w:val="22"/>
          <w:szCs w:val="22"/>
        </w:rPr>
        <w:t>A toda la comunidad…</w:t>
      </w:r>
    </w:p>
    <w:p w14:paraId="2B691328" w14:textId="77777777" w:rsidR="0092743F" w:rsidRPr="0092743F" w:rsidRDefault="0092743F" w:rsidP="0092743F">
      <w:pPr>
        <w:pStyle w:val="Sinespaciado"/>
        <w:tabs>
          <w:tab w:val="left" w:pos="1828"/>
        </w:tabs>
        <w:jc w:val="both"/>
        <w:rPr>
          <w:sz w:val="22"/>
          <w:szCs w:val="22"/>
        </w:rPr>
      </w:pPr>
      <w:r w:rsidRPr="0092743F">
        <w:rPr>
          <w:sz w:val="22"/>
          <w:szCs w:val="22"/>
        </w:rPr>
        <w:tab/>
        <w:t>Según los últimos trascendidos periodísticos sobre lo tratado en la última sesión del HCD de nuestra ciudad respecto a la presencia de arsénico en el agua, dónde parece ser que para nuestros ediles no está claro el nivel de responsabilidad, o la falta de certeza científica o la temporalidad del problema, consideramos oportuno hacer algunos aportes para clarificar a nuestros vecinos.</w:t>
      </w:r>
    </w:p>
    <w:p w14:paraId="7910B3E7" w14:textId="492E1A11" w:rsidR="0092743F" w:rsidRPr="0092743F" w:rsidRDefault="0092743F" w:rsidP="0092743F">
      <w:pPr>
        <w:pStyle w:val="Sinespaciado"/>
        <w:tabs>
          <w:tab w:val="left" w:pos="1828"/>
        </w:tabs>
        <w:jc w:val="both"/>
        <w:rPr>
          <w:sz w:val="22"/>
          <w:szCs w:val="22"/>
        </w:rPr>
      </w:pPr>
      <w:r w:rsidRPr="0092743F">
        <w:rPr>
          <w:sz w:val="22"/>
          <w:szCs w:val="22"/>
        </w:rPr>
        <w:t>¿A quién corresponde la responsabilidad del exceso de arsénico en el agua del servicio público municipal?</w:t>
      </w:r>
    </w:p>
    <w:p w14:paraId="509C961A" w14:textId="77777777" w:rsidR="0092743F" w:rsidRPr="0092743F" w:rsidRDefault="0092743F" w:rsidP="0092743F">
      <w:pPr>
        <w:pStyle w:val="Sinespaciado"/>
        <w:tabs>
          <w:tab w:val="left" w:pos="1828"/>
        </w:tabs>
        <w:jc w:val="both"/>
        <w:rPr>
          <w:sz w:val="22"/>
          <w:szCs w:val="22"/>
        </w:rPr>
      </w:pPr>
    </w:p>
    <w:p w14:paraId="10D2A4F9" w14:textId="50A88CF4" w:rsidR="0092743F" w:rsidRPr="0092743F" w:rsidRDefault="0092743F" w:rsidP="0092743F">
      <w:pPr>
        <w:pStyle w:val="Sinespaciado"/>
        <w:tabs>
          <w:tab w:val="left" w:pos="1828"/>
        </w:tabs>
        <w:jc w:val="both"/>
        <w:rPr>
          <w:sz w:val="22"/>
          <w:szCs w:val="22"/>
        </w:rPr>
      </w:pPr>
      <w:r w:rsidRPr="0092743F">
        <w:rPr>
          <w:b/>
          <w:bCs/>
          <w:sz w:val="22"/>
          <w:szCs w:val="22"/>
          <w:u w:val="single"/>
        </w:rPr>
        <w:t>ANÁLISIS MULTINIVEL</w:t>
      </w:r>
      <w:r w:rsidRPr="0092743F">
        <w:rPr>
          <w:sz w:val="22"/>
          <w:szCs w:val="22"/>
        </w:rPr>
        <w:t xml:space="preserve"> Responsabilidad Primaria y Directa: El Municipio/Prestador del Servicio</w:t>
      </w:r>
    </w:p>
    <w:p w14:paraId="2277B04E" w14:textId="77777777" w:rsidR="0092743F" w:rsidRPr="0092743F" w:rsidRDefault="0092743F" w:rsidP="0092743F">
      <w:pPr>
        <w:pStyle w:val="Sinespaciado"/>
        <w:tabs>
          <w:tab w:val="left" w:pos="1828"/>
        </w:tabs>
        <w:jc w:val="both"/>
        <w:rPr>
          <w:sz w:val="22"/>
          <w:szCs w:val="22"/>
        </w:rPr>
      </w:pPr>
    </w:p>
    <w:p w14:paraId="7C0FA844" w14:textId="77777777" w:rsidR="0092743F" w:rsidRPr="0092743F" w:rsidRDefault="0092743F" w:rsidP="0092743F">
      <w:pPr>
        <w:pStyle w:val="Sinespaciado"/>
        <w:numPr>
          <w:ilvl w:val="0"/>
          <w:numId w:val="1"/>
        </w:numPr>
        <w:tabs>
          <w:tab w:val="left" w:pos="1828"/>
        </w:tabs>
        <w:jc w:val="both"/>
        <w:rPr>
          <w:sz w:val="22"/>
          <w:szCs w:val="22"/>
        </w:rPr>
      </w:pPr>
      <w:r w:rsidRPr="0092743F">
        <w:rPr>
          <w:sz w:val="22"/>
          <w:szCs w:val="22"/>
        </w:rPr>
        <w:t>Responsabilidad legal y técnica: Como operador del servicio, tiene la obligación de suministrar agua que cumpla con los estándares de potabilidad establecidos por la normativa nacional (generalmente basada en directrices de la OMS). El incumplimiento es una falla directa en su deber.</w:t>
      </w:r>
    </w:p>
    <w:p w14:paraId="7FB7214D" w14:textId="77777777" w:rsidR="0092743F" w:rsidRPr="0092743F" w:rsidRDefault="0092743F" w:rsidP="0092743F">
      <w:pPr>
        <w:pStyle w:val="Sinespaciado"/>
        <w:numPr>
          <w:ilvl w:val="0"/>
          <w:numId w:val="1"/>
        </w:numPr>
        <w:tabs>
          <w:tab w:val="left" w:pos="1828"/>
        </w:tabs>
        <w:jc w:val="both"/>
        <w:rPr>
          <w:sz w:val="22"/>
          <w:szCs w:val="22"/>
        </w:rPr>
      </w:pPr>
      <w:r w:rsidRPr="0092743F">
        <w:rPr>
          <w:sz w:val="22"/>
          <w:szCs w:val="22"/>
        </w:rPr>
        <w:t>Responsabilidades específicas del Municipio:</w:t>
      </w:r>
    </w:p>
    <w:p w14:paraId="7D97B79C" w14:textId="77777777" w:rsidR="0092743F" w:rsidRPr="0092743F" w:rsidRDefault="0092743F" w:rsidP="0092743F">
      <w:pPr>
        <w:pStyle w:val="Sinespaciado"/>
        <w:tabs>
          <w:tab w:val="left" w:pos="1828"/>
        </w:tabs>
        <w:ind w:left="720"/>
        <w:jc w:val="both"/>
        <w:rPr>
          <w:sz w:val="22"/>
          <w:szCs w:val="22"/>
        </w:rPr>
      </w:pPr>
    </w:p>
    <w:p w14:paraId="2F8576B1"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Monitoreo continuo: Debe realizar análisis periódicos en distintos puntos de la red.</w:t>
      </w:r>
    </w:p>
    <w:p w14:paraId="2E27378C"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Acción inmediata: Al detectar niveles peligrosos, debe informar a la población, tomar medidas paliativas (como distribución de agua embotellada) y trabajar en una solución técnica.</w:t>
      </w:r>
    </w:p>
    <w:p w14:paraId="318AC822"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Inversión en infraestructura: Debe presupuestar, gestionar y ejecutar obras para tratar el agua (plantas de ósmosis inversa, coagulación, etc.).</w:t>
      </w:r>
    </w:p>
    <w:p w14:paraId="03638332" w14:textId="77777777" w:rsidR="0092743F" w:rsidRPr="0092743F" w:rsidRDefault="0092743F" w:rsidP="0092743F">
      <w:pPr>
        <w:pStyle w:val="Sinespaciado"/>
        <w:tabs>
          <w:tab w:val="left" w:pos="1828"/>
        </w:tabs>
        <w:jc w:val="both"/>
        <w:rPr>
          <w:sz w:val="22"/>
          <w:szCs w:val="22"/>
        </w:rPr>
      </w:pPr>
    </w:p>
    <w:p w14:paraId="342C84C3" w14:textId="783457B9" w:rsidR="0092743F" w:rsidRPr="0092743F" w:rsidRDefault="0092743F" w:rsidP="0092743F">
      <w:pPr>
        <w:pStyle w:val="Sinespaciado"/>
        <w:tabs>
          <w:tab w:val="left" w:pos="1828"/>
        </w:tabs>
        <w:jc w:val="both"/>
        <w:rPr>
          <w:sz w:val="22"/>
          <w:szCs w:val="22"/>
        </w:rPr>
      </w:pPr>
      <w:r w:rsidRPr="0092743F">
        <w:rPr>
          <w:b/>
          <w:bCs/>
          <w:sz w:val="22"/>
          <w:szCs w:val="22"/>
          <w:u w:val="single"/>
        </w:rPr>
        <w:t>RESPONSABILIDAD DE ÓRGANOS SUPERIORES</w:t>
      </w:r>
      <w:r w:rsidRPr="0092743F">
        <w:rPr>
          <w:sz w:val="22"/>
          <w:szCs w:val="22"/>
        </w:rPr>
        <w:t xml:space="preserve"> (Provincia y Nación)</w:t>
      </w:r>
    </w:p>
    <w:p w14:paraId="02A2ED17" w14:textId="77777777" w:rsidR="0092743F" w:rsidRPr="0092743F" w:rsidRDefault="0092743F" w:rsidP="0092743F">
      <w:pPr>
        <w:pStyle w:val="Sinespaciado"/>
        <w:tabs>
          <w:tab w:val="left" w:pos="1828"/>
        </w:tabs>
        <w:jc w:val="both"/>
        <w:rPr>
          <w:sz w:val="22"/>
          <w:szCs w:val="22"/>
        </w:rPr>
      </w:pPr>
    </w:p>
    <w:p w14:paraId="2AEE0076" w14:textId="77777777" w:rsidR="0092743F" w:rsidRPr="0092743F" w:rsidRDefault="0092743F" w:rsidP="0092743F">
      <w:pPr>
        <w:pStyle w:val="Sinespaciado"/>
        <w:numPr>
          <w:ilvl w:val="0"/>
          <w:numId w:val="2"/>
        </w:numPr>
        <w:tabs>
          <w:tab w:val="left" w:pos="1828"/>
        </w:tabs>
        <w:jc w:val="both"/>
        <w:rPr>
          <w:sz w:val="22"/>
          <w:szCs w:val="22"/>
        </w:rPr>
      </w:pPr>
      <w:r w:rsidRPr="0092743F">
        <w:rPr>
          <w:sz w:val="22"/>
          <w:szCs w:val="22"/>
        </w:rPr>
        <w:t>Responsabilidad regulatoria y de control: Los organismos provinciales/nacionales de agua y ambiente deben:</w:t>
      </w:r>
    </w:p>
    <w:p w14:paraId="02FD281A" w14:textId="77777777" w:rsidR="0092743F" w:rsidRPr="0092743F" w:rsidRDefault="0092743F" w:rsidP="0092743F">
      <w:pPr>
        <w:pStyle w:val="Sinespaciado"/>
        <w:tabs>
          <w:tab w:val="left" w:pos="1828"/>
        </w:tabs>
        <w:ind w:left="720"/>
        <w:jc w:val="both"/>
        <w:rPr>
          <w:sz w:val="22"/>
          <w:szCs w:val="22"/>
        </w:rPr>
      </w:pPr>
    </w:p>
    <w:p w14:paraId="07947D9F"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Establecer normativas claras y actualizadas.</w:t>
      </w:r>
    </w:p>
    <w:p w14:paraId="66A3EC90"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Auditar y fiscalizar el cumplimiento por parte del Municipio.</w:t>
      </w:r>
    </w:p>
    <w:p w14:paraId="39B74C2B"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Disponer de sistemas de alerta temprana.</w:t>
      </w:r>
    </w:p>
    <w:p w14:paraId="7CCC1E26" w14:textId="77777777" w:rsidR="0092743F" w:rsidRPr="0092743F" w:rsidRDefault="0092743F" w:rsidP="0092743F">
      <w:pPr>
        <w:pStyle w:val="Sinespaciado"/>
        <w:tabs>
          <w:tab w:val="left" w:pos="1828"/>
        </w:tabs>
        <w:jc w:val="both"/>
        <w:rPr>
          <w:sz w:val="22"/>
          <w:szCs w:val="22"/>
        </w:rPr>
      </w:pPr>
    </w:p>
    <w:p w14:paraId="47F1F120" w14:textId="29C924F5" w:rsidR="0092743F" w:rsidRPr="0092743F" w:rsidRDefault="0092743F" w:rsidP="0092743F">
      <w:pPr>
        <w:pStyle w:val="Sinespaciado"/>
        <w:numPr>
          <w:ilvl w:val="0"/>
          <w:numId w:val="2"/>
        </w:numPr>
        <w:tabs>
          <w:tab w:val="left" w:pos="1828"/>
        </w:tabs>
        <w:jc w:val="both"/>
        <w:rPr>
          <w:sz w:val="22"/>
          <w:szCs w:val="22"/>
        </w:rPr>
      </w:pPr>
      <w:r w:rsidRPr="0092743F">
        <w:rPr>
          <w:sz w:val="22"/>
          <w:szCs w:val="22"/>
        </w:rPr>
        <w:t xml:space="preserve">Responsabilidad de apoyo técnico y financiero: Muchos municipios pequeños carecen de recursos técnicos y económicos, caso de Lobos, Municipio empobrecido y mal establecidas las prioridades de gestión. </w:t>
      </w:r>
    </w:p>
    <w:p w14:paraId="3AD55B19" w14:textId="77777777" w:rsidR="0092743F" w:rsidRPr="0092743F" w:rsidRDefault="0092743F" w:rsidP="0092743F">
      <w:pPr>
        <w:pStyle w:val="Sinespaciado"/>
        <w:tabs>
          <w:tab w:val="left" w:pos="1828"/>
        </w:tabs>
        <w:ind w:left="720"/>
        <w:jc w:val="both"/>
        <w:rPr>
          <w:sz w:val="22"/>
          <w:szCs w:val="22"/>
        </w:rPr>
      </w:pPr>
    </w:p>
    <w:p w14:paraId="27BC3ADC" w14:textId="7288D3B3" w:rsidR="0092743F" w:rsidRPr="0092743F" w:rsidRDefault="0092743F" w:rsidP="0092743F">
      <w:pPr>
        <w:pStyle w:val="Sinespaciado"/>
        <w:tabs>
          <w:tab w:val="left" w:pos="1828"/>
        </w:tabs>
        <w:jc w:val="both"/>
        <w:rPr>
          <w:b/>
          <w:bCs/>
          <w:sz w:val="22"/>
          <w:szCs w:val="22"/>
        </w:rPr>
      </w:pPr>
      <w:r w:rsidRPr="0092743F">
        <w:rPr>
          <w:b/>
          <w:bCs/>
          <w:sz w:val="22"/>
          <w:szCs w:val="22"/>
          <w:u w:val="single"/>
        </w:rPr>
        <w:t>LAS ADMINISTRACIONES SUPERIORES TIENEN EL DEBER DE</w:t>
      </w:r>
      <w:r w:rsidRPr="0092743F">
        <w:rPr>
          <w:b/>
          <w:bCs/>
          <w:sz w:val="22"/>
          <w:szCs w:val="22"/>
        </w:rPr>
        <w:t>:</w:t>
      </w:r>
    </w:p>
    <w:p w14:paraId="46B9018A" w14:textId="77777777" w:rsidR="0092743F" w:rsidRPr="0092743F" w:rsidRDefault="0092743F" w:rsidP="0092743F">
      <w:pPr>
        <w:pStyle w:val="Sinespaciado"/>
        <w:tabs>
          <w:tab w:val="left" w:pos="1828"/>
        </w:tabs>
        <w:jc w:val="both"/>
        <w:rPr>
          <w:b/>
          <w:bCs/>
          <w:sz w:val="22"/>
          <w:szCs w:val="22"/>
        </w:rPr>
      </w:pPr>
    </w:p>
    <w:p w14:paraId="5AD61ED7" w14:textId="75033D71" w:rsidR="00A15AFB" w:rsidRDefault="0092743F" w:rsidP="0092743F">
      <w:pPr>
        <w:pStyle w:val="Sinespaciado"/>
        <w:tabs>
          <w:tab w:val="left" w:pos="1828"/>
        </w:tabs>
        <w:jc w:val="both"/>
        <w:rPr>
          <w:sz w:val="22"/>
          <w:szCs w:val="22"/>
        </w:rPr>
      </w:pPr>
      <w:r w:rsidRPr="0092743F">
        <w:rPr>
          <w:sz w:val="22"/>
          <w:szCs w:val="22"/>
        </w:rPr>
        <w:t xml:space="preserve">   · Brindar asistencia técnica.</w:t>
      </w:r>
    </w:p>
    <w:p w14:paraId="43223722" w14:textId="1A31572B" w:rsidR="00A15AFB" w:rsidRDefault="00A15AFB" w:rsidP="0092743F">
      <w:pPr>
        <w:pStyle w:val="Sinespaciado"/>
        <w:tabs>
          <w:tab w:val="left" w:pos="1828"/>
        </w:tabs>
        <w:jc w:val="both"/>
        <w:rPr>
          <w:sz w:val="22"/>
          <w:szCs w:val="22"/>
        </w:rPr>
      </w:pPr>
      <w:r w:rsidRPr="0092743F">
        <w:rPr>
          <w:sz w:val="22"/>
          <w:szCs w:val="22"/>
        </w:rPr>
        <w:t xml:space="preserve">   · Proveer fondos específicos (subsidios, créditos blandos) para proyectos de mitigación.</w:t>
      </w:r>
    </w:p>
    <w:p w14:paraId="12A9E135" w14:textId="77777777" w:rsidR="00A15AFB" w:rsidRPr="0092743F" w:rsidRDefault="00A15AFB" w:rsidP="00A15AFB">
      <w:pPr>
        <w:pStyle w:val="Sinespaciado"/>
        <w:tabs>
          <w:tab w:val="left" w:pos="1828"/>
        </w:tabs>
        <w:jc w:val="both"/>
        <w:rPr>
          <w:sz w:val="22"/>
          <w:szCs w:val="22"/>
        </w:rPr>
      </w:pPr>
      <w:r w:rsidRPr="0092743F">
        <w:rPr>
          <w:sz w:val="22"/>
          <w:szCs w:val="22"/>
        </w:rPr>
        <w:t xml:space="preserve">   · Declarar la emergencia hídrica si corresponde para agilizar recursos.</w:t>
      </w:r>
    </w:p>
    <w:p w14:paraId="653203A8" w14:textId="77777777" w:rsidR="00A15AFB" w:rsidRDefault="00A15AFB" w:rsidP="0092743F">
      <w:pPr>
        <w:pStyle w:val="Sinespaciado"/>
        <w:tabs>
          <w:tab w:val="left" w:pos="1828"/>
        </w:tabs>
        <w:jc w:val="both"/>
        <w:rPr>
          <w:sz w:val="22"/>
          <w:szCs w:val="22"/>
        </w:rPr>
        <w:sectPr w:rsidR="00A15AFB">
          <w:headerReference w:type="default" r:id="rId7"/>
          <w:pgSz w:w="12240" w:h="15840"/>
          <w:pgMar w:top="1417" w:right="1701" w:bottom="1417" w:left="1701" w:header="720" w:footer="720" w:gutter="0"/>
          <w:cols w:space="720"/>
          <w:docGrid w:linePitch="360"/>
        </w:sectPr>
      </w:pPr>
    </w:p>
    <w:p w14:paraId="7B2AC26A" w14:textId="77777777" w:rsidR="0092743F" w:rsidRPr="0092743F" w:rsidRDefault="0092743F" w:rsidP="0092743F">
      <w:pPr>
        <w:pStyle w:val="Sinespaciado"/>
        <w:tabs>
          <w:tab w:val="left" w:pos="1828"/>
        </w:tabs>
        <w:jc w:val="both"/>
        <w:rPr>
          <w:sz w:val="22"/>
          <w:szCs w:val="22"/>
        </w:rPr>
      </w:pPr>
    </w:p>
    <w:p w14:paraId="4CC17AF5" w14:textId="77777777" w:rsidR="0092743F" w:rsidRPr="0092743F" w:rsidRDefault="0092743F" w:rsidP="0092743F">
      <w:pPr>
        <w:pStyle w:val="Sinespaciado"/>
        <w:tabs>
          <w:tab w:val="left" w:pos="1828"/>
        </w:tabs>
        <w:jc w:val="both"/>
        <w:rPr>
          <w:sz w:val="22"/>
          <w:szCs w:val="22"/>
        </w:rPr>
      </w:pPr>
    </w:p>
    <w:p w14:paraId="62087C0C" w14:textId="7A15F84A" w:rsidR="0092743F" w:rsidRPr="0092743F" w:rsidRDefault="0092743F" w:rsidP="0092743F">
      <w:pPr>
        <w:pStyle w:val="Sinespaciado"/>
        <w:tabs>
          <w:tab w:val="left" w:pos="1828"/>
        </w:tabs>
        <w:jc w:val="both"/>
        <w:rPr>
          <w:sz w:val="22"/>
          <w:szCs w:val="22"/>
        </w:rPr>
      </w:pPr>
      <w:r w:rsidRPr="0092743F">
        <w:rPr>
          <w:b/>
          <w:bCs/>
          <w:sz w:val="22"/>
          <w:szCs w:val="22"/>
          <w:u w:val="single"/>
        </w:rPr>
        <w:t>RESPONSABILIDAD DE ORIGEN</w:t>
      </w:r>
      <w:r w:rsidRPr="0092743F">
        <w:rPr>
          <w:b/>
          <w:bCs/>
          <w:sz w:val="22"/>
          <w:szCs w:val="22"/>
        </w:rPr>
        <w:t>:</w:t>
      </w:r>
      <w:r w:rsidRPr="0092743F">
        <w:rPr>
          <w:sz w:val="22"/>
          <w:szCs w:val="22"/>
        </w:rPr>
        <w:t xml:space="preserve"> La Contaminación Natural o Antrópica</w:t>
      </w:r>
    </w:p>
    <w:p w14:paraId="4F2EF62F" w14:textId="77777777" w:rsidR="0092743F" w:rsidRPr="0092743F" w:rsidRDefault="0092743F" w:rsidP="0092743F">
      <w:pPr>
        <w:pStyle w:val="Sinespaciado"/>
        <w:tabs>
          <w:tab w:val="left" w:pos="1828"/>
        </w:tabs>
        <w:jc w:val="both"/>
        <w:rPr>
          <w:sz w:val="22"/>
          <w:szCs w:val="22"/>
        </w:rPr>
      </w:pPr>
    </w:p>
    <w:p w14:paraId="7A8BC095" w14:textId="77777777" w:rsidR="0092743F" w:rsidRPr="0092743F" w:rsidRDefault="0092743F" w:rsidP="0092743F">
      <w:pPr>
        <w:pStyle w:val="Sinespaciado"/>
        <w:numPr>
          <w:ilvl w:val="0"/>
          <w:numId w:val="3"/>
        </w:numPr>
        <w:tabs>
          <w:tab w:val="left" w:pos="1828"/>
        </w:tabs>
        <w:jc w:val="both"/>
        <w:rPr>
          <w:sz w:val="22"/>
          <w:szCs w:val="22"/>
        </w:rPr>
      </w:pPr>
      <w:r w:rsidRPr="0092743F">
        <w:rPr>
          <w:sz w:val="22"/>
          <w:szCs w:val="22"/>
        </w:rPr>
        <w:t xml:space="preserve">Origen geológico (caso más común): Si el arsénico es de origen natural (por ejemplo, de rocas volcánicas), </w:t>
      </w:r>
      <w:r w:rsidRPr="0092743F">
        <w:rPr>
          <w:b/>
          <w:bCs/>
          <w:sz w:val="22"/>
          <w:szCs w:val="22"/>
        </w:rPr>
        <w:t>la responsabilidad recae en cómo se gestiona el riesgo conocido.</w:t>
      </w:r>
      <w:r w:rsidRPr="0092743F">
        <w:rPr>
          <w:sz w:val="22"/>
          <w:szCs w:val="22"/>
        </w:rPr>
        <w:t xml:space="preserve"> La falta de acción proactiva para tratar el agua es una negligencia compartida.</w:t>
      </w:r>
    </w:p>
    <w:p w14:paraId="5E68075E" w14:textId="77777777" w:rsidR="0092743F" w:rsidRPr="0092743F" w:rsidRDefault="0092743F" w:rsidP="0092743F">
      <w:pPr>
        <w:pStyle w:val="Sinespaciado"/>
        <w:numPr>
          <w:ilvl w:val="0"/>
          <w:numId w:val="3"/>
        </w:numPr>
        <w:tabs>
          <w:tab w:val="left" w:pos="1828"/>
        </w:tabs>
        <w:jc w:val="both"/>
        <w:rPr>
          <w:sz w:val="22"/>
          <w:szCs w:val="22"/>
        </w:rPr>
      </w:pPr>
      <w:r w:rsidRPr="0092743F">
        <w:rPr>
          <w:sz w:val="22"/>
          <w:szCs w:val="22"/>
        </w:rPr>
        <w:t>Origen antrópico (actividad humana): Si proviene de minería, industrias o agricultura intensiva, la responsabilidad se extiende a:</w:t>
      </w:r>
    </w:p>
    <w:p w14:paraId="495C9E8C" w14:textId="77777777" w:rsidR="0092743F" w:rsidRPr="0092743F" w:rsidRDefault="0092743F" w:rsidP="0092743F">
      <w:pPr>
        <w:pStyle w:val="Sinespaciado"/>
        <w:tabs>
          <w:tab w:val="left" w:pos="1828"/>
        </w:tabs>
        <w:ind w:left="720"/>
        <w:jc w:val="both"/>
        <w:rPr>
          <w:sz w:val="22"/>
          <w:szCs w:val="22"/>
        </w:rPr>
      </w:pPr>
    </w:p>
    <w:p w14:paraId="57EF8913" w14:textId="77777777" w:rsidR="0092743F" w:rsidRPr="0092743F" w:rsidRDefault="0092743F" w:rsidP="0092743F">
      <w:pPr>
        <w:pStyle w:val="Sinespaciado"/>
        <w:tabs>
          <w:tab w:val="left" w:pos="1828"/>
        </w:tabs>
        <w:jc w:val="both"/>
        <w:rPr>
          <w:b/>
          <w:bCs/>
          <w:sz w:val="22"/>
          <w:szCs w:val="22"/>
        </w:rPr>
      </w:pPr>
      <w:r w:rsidRPr="0092743F">
        <w:rPr>
          <w:sz w:val="22"/>
          <w:szCs w:val="22"/>
        </w:rPr>
        <w:t xml:space="preserve">   · Empresas contaminantes: Por no tratar sus efluentes, emisiones o derivas</w:t>
      </w:r>
      <w:r w:rsidRPr="0092743F">
        <w:rPr>
          <w:b/>
          <w:bCs/>
          <w:sz w:val="22"/>
          <w:szCs w:val="22"/>
        </w:rPr>
        <w:t xml:space="preserve"> “El que contamina paga” </w:t>
      </w:r>
    </w:p>
    <w:p w14:paraId="1B6A7545"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Organismos de control ambiental: Por no hacer cumplir la ley.</w:t>
      </w:r>
    </w:p>
    <w:p w14:paraId="5E21A9F6" w14:textId="77777777" w:rsidR="0092743F" w:rsidRPr="0092743F" w:rsidRDefault="0092743F" w:rsidP="0092743F">
      <w:pPr>
        <w:pStyle w:val="Sinespaciado"/>
        <w:tabs>
          <w:tab w:val="left" w:pos="1828"/>
        </w:tabs>
        <w:jc w:val="both"/>
        <w:rPr>
          <w:sz w:val="22"/>
          <w:szCs w:val="22"/>
        </w:rPr>
      </w:pPr>
      <w:r w:rsidRPr="0092743F">
        <w:rPr>
          <w:sz w:val="22"/>
          <w:szCs w:val="22"/>
        </w:rPr>
        <w:t xml:space="preserve">   · Municipio/Provincia: Por permitir usos del suelo que contaminan acuíferos.</w:t>
      </w:r>
    </w:p>
    <w:p w14:paraId="580B596A" w14:textId="77777777" w:rsidR="0092743F" w:rsidRPr="0092743F" w:rsidRDefault="0092743F" w:rsidP="0092743F">
      <w:pPr>
        <w:pStyle w:val="Sinespaciado"/>
        <w:tabs>
          <w:tab w:val="left" w:pos="1828"/>
        </w:tabs>
        <w:jc w:val="both"/>
        <w:rPr>
          <w:sz w:val="22"/>
          <w:szCs w:val="22"/>
        </w:rPr>
      </w:pPr>
    </w:p>
    <w:p w14:paraId="4C8230A9" w14:textId="2283A5E1" w:rsidR="0092743F" w:rsidRPr="0092743F" w:rsidRDefault="0092743F" w:rsidP="0092743F">
      <w:pPr>
        <w:pStyle w:val="Sinespaciado"/>
        <w:tabs>
          <w:tab w:val="left" w:pos="1828"/>
        </w:tabs>
        <w:jc w:val="both"/>
        <w:rPr>
          <w:b/>
          <w:bCs/>
          <w:sz w:val="22"/>
          <w:szCs w:val="22"/>
          <w:u w:val="single"/>
        </w:rPr>
      </w:pPr>
      <w:r w:rsidRPr="0092743F">
        <w:rPr>
          <w:b/>
          <w:bCs/>
          <w:sz w:val="22"/>
          <w:szCs w:val="22"/>
          <w:u w:val="single"/>
        </w:rPr>
        <w:t>RESPONSABILIDADES DE OTROS ACTORES</w:t>
      </w:r>
    </w:p>
    <w:p w14:paraId="44D911F4" w14:textId="77777777" w:rsidR="0092743F" w:rsidRPr="0092743F" w:rsidRDefault="0092743F" w:rsidP="0092743F">
      <w:pPr>
        <w:pStyle w:val="Sinespaciado"/>
        <w:tabs>
          <w:tab w:val="left" w:pos="1828"/>
        </w:tabs>
        <w:jc w:val="both"/>
        <w:rPr>
          <w:b/>
          <w:bCs/>
          <w:sz w:val="22"/>
          <w:szCs w:val="22"/>
        </w:rPr>
      </w:pPr>
    </w:p>
    <w:p w14:paraId="469386B4" w14:textId="77777777" w:rsidR="0092743F" w:rsidRPr="0092743F" w:rsidRDefault="0092743F" w:rsidP="0092743F">
      <w:pPr>
        <w:pStyle w:val="Sinespaciado"/>
        <w:numPr>
          <w:ilvl w:val="0"/>
          <w:numId w:val="4"/>
        </w:numPr>
        <w:tabs>
          <w:tab w:val="left" w:pos="1828"/>
        </w:tabs>
        <w:jc w:val="both"/>
        <w:rPr>
          <w:sz w:val="22"/>
          <w:szCs w:val="22"/>
        </w:rPr>
      </w:pPr>
      <w:r w:rsidRPr="0092743F">
        <w:rPr>
          <w:sz w:val="22"/>
          <w:szCs w:val="22"/>
        </w:rPr>
        <w:t xml:space="preserve">Responsabilidad política: Intendentes, concejales y funcionarios que priorizan otras obras sobre la salud pública, o que no declaran la emergencia por temor al impacto político. </w:t>
      </w:r>
    </w:p>
    <w:p w14:paraId="2471BFA4" w14:textId="6AEDF9C2" w:rsidR="0092743F" w:rsidRPr="0092743F" w:rsidRDefault="0092743F" w:rsidP="0092743F">
      <w:pPr>
        <w:pStyle w:val="Sinespaciado"/>
        <w:numPr>
          <w:ilvl w:val="0"/>
          <w:numId w:val="4"/>
        </w:numPr>
        <w:tabs>
          <w:tab w:val="left" w:pos="1828"/>
        </w:tabs>
        <w:jc w:val="both"/>
        <w:rPr>
          <w:sz w:val="22"/>
          <w:szCs w:val="22"/>
        </w:rPr>
      </w:pPr>
      <w:r w:rsidRPr="0092743F">
        <w:rPr>
          <w:sz w:val="22"/>
          <w:szCs w:val="22"/>
        </w:rPr>
        <w:t>Responsabilidad comunitaria y de la sociedad civil: En exigir transparencia, organizarse y mantener el tema en agenda pública. Sin presión social, la inacción puede perpetuarse. Lobos es ejemplo de esto.</w:t>
      </w:r>
    </w:p>
    <w:p w14:paraId="50657FE2" w14:textId="77777777" w:rsidR="0092743F" w:rsidRPr="0092743F" w:rsidRDefault="0092743F" w:rsidP="0092743F">
      <w:pPr>
        <w:pStyle w:val="Sinespaciado"/>
        <w:tabs>
          <w:tab w:val="left" w:pos="1828"/>
        </w:tabs>
        <w:jc w:val="both"/>
        <w:rPr>
          <w:sz w:val="22"/>
          <w:szCs w:val="22"/>
        </w:rPr>
      </w:pPr>
    </w:p>
    <w:p w14:paraId="3AD1B7FE" w14:textId="678AC65C" w:rsidR="0092743F" w:rsidRPr="0092743F" w:rsidRDefault="0092743F" w:rsidP="0092743F">
      <w:pPr>
        <w:pStyle w:val="Sinespaciado"/>
        <w:tabs>
          <w:tab w:val="left" w:pos="1828"/>
        </w:tabs>
        <w:jc w:val="both"/>
        <w:rPr>
          <w:b/>
          <w:bCs/>
          <w:sz w:val="22"/>
          <w:szCs w:val="22"/>
          <w:u w:val="single"/>
        </w:rPr>
      </w:pPr>
      <w:r w:rsidRPr="0092743F">
        <w:rPr>
          <w:b/>
          <w:bCs/>
          <w:sz w:val="22"/>
          <w:szCs w:val="22"/>
          <w:u w:val="single"/>
        </w:rPr>
        <w:t>MARCO ÉTICO Y DE DERECHOS HUMANOS</w:t>
      </w:r>
    </w:p>
    <w:p w14:paraId="3219E9A8" w14:textId="77777777" w:rsidR="0092743F" w:rsidRPr="0092743F" w:rsidRDefault="0092743F" w:rsidP="0092743F">
      <w:pPr>
        <w:pStyle w:val="Sinespaciado"/>
        <w:tabs>
          <w:tab w:val="left" w:pos="1828"/>
        </w:tabs>
        <w:jc w:val="both"/>
        <w:rPr>
          <w:b/>
          <w:bCs/>
          <w:sz w:val="22"/>
          <w:szCs w:val="22"/>
        </w:rPr>
      </w:pPr>
    </w:p>
    <w:p w14:paraId="1A8C54B5" w14:textId="77777777" w:rsidR="0092743F" w:rsidRPr="0092743F" w:rsidRDefault="0092743F" w:rsidP="0092743F">
      <w:pPr>
        <w:pStyle w:val="Sinespaciado"/>
        <w:tabs>
          <w:tab w:val="left" w:pos="1828"/>
        </w:tabs>
        <w:jc w:val="both"/>
        <w:rPr>
          <w:sz w:val="22"/>
          <w:szCs w:val="22"/>
        </w:rPr>
      </w:pPr>
      <w:r w:rsidRPr="0092743F">
        <w:rPr>
          <w:sz w:val="22"/>
          <w:szCs w:val="22"/>
        </w:rPr>
        <w:t>La ONU reconoce el derecho humano al agua potable. El Estado en todos sus niveles (nacional, provincial, municipal) es el garante último de este derecho, Ley 14782.</w:t>
      </w:r>
    </w:p>
    <w:p w14:paraId="149A5788" w14:textId="77777777" w:rsidR="0092743F" w:rsidRPr="0092743F" w:rsidRDefault="0092743F" w:rsidP="0092743F">
      <w:pPr>
        <w:pStyle w:val="Sinespaciado"/>
        <w:tabs>
          <w:tab w:val="left" w:pos="1828"/>
        </w:tabs>
        <w:jc w:val="both"/>
        <w:rPr>
          <w:sz w:val="22"/>
          <w:szCs w:val="22"/>
        </w:rPr>
      </w:pPr>
      <w:r w:rsidRPr="0092743F">
        <w:rPr>
          <w:sz w:val="22"/>
          <w:szCs w:val="22"/>
        </w:rPr>
        <w:t xml:space="preserve"> La responsabilidad, por tanto, es compartida y escalonada, pero comienza con el operador directo (Municipio) y se extiende hacia arriba en la cadena de autoridad.</w:t>
      </w:r>
    </w:p>
    <w:p w14:paraId="649D6C0A" w14:textId="77777777" w:rsidR="0092743F" w:rsidRPr="0092743F" w:rsidRDefault="0092743F" w:rsidP="0092743F">
      <w:pPr>
        <w:pStyle w:val="Sinespaciado"/>
        <w:tabs>
          <w:tab w:val="left" w:pos="1828"/>
        </w:tabs>
        <w:jc w:val="both"/>
        <w:rPr>
          <w:sz w:val="22"/>
          <w:szCs w:val="22"/>
        </w:rPr>
      </w:pPr>
    </w:p>
    <w:p w14:paraId="001CC398" w14:textId="62339754" w:rsidR="0092743F" w:rsidRPr="0092743F" w:rsidRDefault="0092743F" w:rsidP="0092743F">
      <w:pPr>
        <w:pStyle w:val="Sinespaciado"/>
        <w:tabs>
          <w:tab w:val="left" w:pos="1828"/>
        </w:tabs>
        <w:jc w:val="both"/>
        <w:rPr>
          <w:sz w:val="22"/>
          <w:szCs w:val="22"/>
        </w:rPr>
      </w:pPr>
      <w:r w:rsidRPr="0092743F">
        <w:rPr>
          <w:b/>
          <w:bCs/>
          <w:sz w:val="22"/>
          <w:szCs w:val="22"/>
          <w:u w:val="single"/>
        </w:rPr>
        <w:t>REFLEXIÓN FINAL</w:t>
      </w:r>
      <w:r w:rsidRPr="0092743F">
        <w:rPr>
          <w:b/>
          <w:bCs/>
          <w:sz w:val="22"/>
          <w:szCs w:val="22"/>
        </w:rPr>
        <w:t>:</w:t>
      </w:r>
      <w:r w:rsidRPr="0092743F">
        <w:rPr>
          <w:sz w:val="22"/>
          <w:szCs w:val="22"/>
        </w:rPr>
        <w:t xml:space="preserve"> Una Falla del Sistema</w:t>
      </w:r>
    </w:p>
    <w:p w14:paraId="145C2F14" w14:textId="77777777" w:rsidR="0092743F" w:rsidRPr="0092743F" w:rsidRDefault="0092743F" w:rsidP="0092743F">
      <w:pPr>
        <w:pStyle w:val="Sinespaciado"/>
        <w:tabs>
          <w:tab w:val="left" w:pos="1828"/>
        </w:tabs>
        <w:jc w:val="both"/>
        <w:rPr>
          <w:sz w:val="22"/>
          <w:szCs w:val="22"/>
        </w:rPr>
      </w:pPr>
    </w:p>
    <w:p w14:paraId="6A8840C2" w14:textId="77777777" w:rsidR="0092743F" w:rsidRPr="0092743F" w:rsidRDefault="0092743F" w:rsidP="0092743F">
      <w:pPr>
        <w:pStyle w:val="Sinespaciado"/>
        <w:tabs>
          <w:tab w:val="left" w:pos="1828"/>
        </w:tabs>
        <w:jc w:val="both"/>
        <w:rPr>
          <w:sz w:val="22"/>
          <w:szCs w:val="22"/>
        </w:rPr>
      </w:pPr>
      <w:r w:rsidRPr="0092743F">
        <w:rPr>
          <w:sz w:val="22"/>
          <w:szCs w:val="22"/>
        </w:rPr>
        <w:t>En la práctica, lo más común es un fracaso sistémico donde:</w:t>
      </w:r>
    </w:p>
    <w:p w14:paraId="398CC1B0" w14:textId="77777777" w:rsidR="0092743F" w:rsidRPr="0092743F" w:rsidRDefault="0092743F" w:rsidP="0092743F">
      <w:pPr>
        <w:pStyle w:val="Sinespaciado"/>
        <w:tabs>
          <w:tab w:val="left" w:pos="1828"/>
        </w:tabs>
        <w:jc w:val="both"/>
        <w:rPr>
          <w:sz w:val="22"/>
          <w:szCs w:val="22"/>
        </w:rPr>
      </w:pPr>
    </w:p>
    <w:p w14:paraId="08294892" w14:textId="77777777" w:rsidR="0092743F" w:rsidRPr="0092743F" w:rsidRDefault="0092743F" w:rsidP="0092743F">
      <w:pPr>
        <w:pStyle w:val="Sinespaciado"/>
        <w:numPr>
          <w:ilvl w:val="0"/>
          <w:numId w:val="5"/>
        </w:numPr>
        <w:tabs>
          <w:tab w:val="left" w:pos="1828"/>
        </w:tabs>
        <w:jc w:val="both"/>
        <w:rPr>
          <w:sz w:val="22"/>
          <w:szCs w:val="22"/>
        </w:rPr>
      </w:pPr>
      <w:r w:rsidRPr="0092743F">
        <w:rPr>
          <w:sz w:val="22"/>
          <w:szCs w:val="22"/>
        </w:rPr>
        <w:t>El Municipio no invierte por falta de recursos o priorización.</w:t>
      </w:r>
    </w:p>
    <w:p w14:paraId="32D1AEBB" w14:textId="77777777" w:rsidR="0092743F" w:rsidRPr="0092743F" w:rsidRDefault="0092743F" w:rsidP="0092743F">
      <w:pPr>
        <w:pStyle w:val="Sinespaciado"/>
        <w:numPr>
          <w:ilvl w:val="0"/>
          <w:numId w:val="5"/>
        </w:numPr>
        <w:tabs>
          <w:tab w:val="left" w:pos="1828"/>
        </w:tabs>
        <w:jc w:val="both"/>
        <w:rPr>
          <w:sz w:val="22"/>
          <w:szCs w:val="22"/>
        </w:rPr>
      </w:pPr>
      <w:r w:rsidRPr="0092743F">
        <w:rPr>
          <w:sz w:val="22"/>
          <w:szCs w:val="22"/>
        </w:rPr>
        <w:t>Los organismos superiores no fiscalizan con rigor ni proveen apoyo suficiente.</w:t>
      </w:r>
    </w:p>
    <w:p w14:paraId="3128FD6C" w14:textId="77777777" w:rsidR="0092743F" w:rsidRPr="0092743F" w:rsidRDefault="0092743F" w:rsidP="0092743F">
      <w:pPr>
        <w:pStyle w:val="Sinespaciado"/>
        <w:numPr>
          <w:ilvl w:val="0"/>
          <w:numId w:val="5"/>
        </w:numPr>
        <w:tabs>
          <w:tab w:val="left" w:pos="1828"/>
        </w:tabs>
        <w:jc w:val="both"/>
        <w:rPr>
          <w:sz w:val="22"/>
          <w:szCs w:val="22"/>
        </w:rPr>
      </w:pPr>
      <w:r w:rsidRPr="0092743F">
        <w:rPr>
          <w:sz w:val="22"/>
          <w:szCs w:val="22"/>
        </w:rPr>
        <w:t>El problema se conoce, pero se normaliza durante años hasta que estalla una crisis de salud pública (Hidroarsenicismo crónico regional endémico. HACRE).</w:t>
      </w:r>
    </w:p>
    <w:p w14:paraId="60ECE3FA" w14:textId="77777777" w:rsidR="0092743F" w:rsidRPr="0092743F" w:rsidRDefault="0092743F" w:rsidP="0092743F">
      <w:pPr>
        <w:pStyle w:val="Sinespaciado"/>
        <w:tabs>
          <w:tab w:val="left" w:pos="1828"/>
        </w:tabs>
        <w:ind w:left="720"/>
        <w:jc w:val="both"/>
        <w:rPr>
          <w:sz w:val="22"/>
          <w:szCs w:val="22"/>
        </w:rPr>
      </w:pPr>
    </w:p>
    <w:p w14:paraId="0C8EE8A3" w14:textId="4502035B" w:rsidR="0092743F" w:rsidRPr="0092743F" w:rsidRDefault="0092743F" w:rsidP="0092743F">
      <w:pPr>
        <w:pStyle w:val="Sinespaciado"/>
        <w:tabs>
          <w:tab w:val="left" w:pos="1828"/>
        </w:tabs>
        <w:jc w:val="both"/>
        <w:rPr>
          <w:sz w:val="22"/>
          <w:szCs w:val="22"/>
        </w:rPr>
      </w:pPr>
      <w:r w:rsidRPr="0092743F">
        <w:rPr>
          <w:sz w:val="22"/>
          <w:szCs w:val="22"/>
        </w:rPr>
        <w:t>Tu derecho como ciudadano es recibir información clara, saber qué niveles de arsénico hay en tu agua, qué plan existe para solucionarlo, y quién está a cargo de cada acción. La responsabilidad última para iniciar la solución suele recaer en el Gobierno Municipal, pero sin presión a los niveles superiores (Provincia y Nación) para obtener apoyo técnico y financiero, es probable que la solución no llegue.</w:t>
      </w:r>
    </w:p>
    <w:p w14:paraId="617F64DE" w14:textId="77777777" w:rsidR="0092743F" w:rsidRPr="0092743F" w:rsidRDefault="0092743F" w:rsidP="0092743F">
      <w:pPr>
        <w:pStyle w:val="Sinespaciado"/>
        <w:tabs>
          <w:tab w:val="left" w:pos="1828"/>
        </w:tabs>
        <w:jc w:val="both"/>
        <w:rPr>
          <w:b/>
          <w:bCs/>
          <w:sz w:val="22"/>
          <w:szCs w:val="22"/>
        </w:rPr>
      </w:pPr>
      <w:r w:rsidRPr="0092743F">
        <w:rPr>
          <w:b/>
          <w:bCs/>
          <w:sz w:val="22"/>
          <w:szCs w:val="22"/>
        </w:rPr>
        <w:t>Temporalidad</w:t>
      </w:r>
    </w:p>
    <w:p w14:paraId="6F4D8691" w14:textId="77777777" w:rsidR="0092743F" w:rsidRPr="0092743F" w:rsidRDefault="0092743F" w:rsidP="0092743F">
      <w:pPr>
        <w:pStyle w:val="Sinespaciado"/>
        <w:tabs>
          <w:tab w:val="left" w:pos="1828"/>
        </w:tabs>
        <w:jc w:val="both"/>
        <w:rPr>
          <w:sz w:val="22"/>
          <w:szCs w:val="22"/>
        </w:rPr>
      </w:pPr>
      <w:r w:rsidRPr="0092743F">
        <w:rPr>
          <w:sz w:val="22"/>
          <w:szCs w:val="22"/>
        </w:rPr>
        <w:t>Desde el descubrimiento de los efectos del arsénico en el agua potable en 1917 en Bell Ville (Córdoba), las medidas en Argentina sobre parámetros de calidad evolucionaron gradualmente de la mera descripción clínica a regulaciones estrictas.</w:t>
      </w:r>
    </w:p>
    <w:p w14:paraId="0C30546D" w14:textId="77777777" w:rsidR="0092743F" w:rsidRPr="0092743F" w:rsidRDefault="0092743F" w:rsidP="0092743F">
      <w:pPr>
        <w:pStyle w:val="Sinespaciado"/>
        <w:tabs>
          <w:tab w:val="left" w:pos="1828"/>
        </w:tabs>
        <w:jc w:val="both"/>
        <w:rPr>
          <w:sz w:val="22"/>
          <w:szCs w:val="22"/>
        </w:rPr>
      </w:pPr>
      <w:r w:rsidRPr="0092743F">
        <w:rPr>
          <w:sz w:val="22"/>
          <w:szCs w:val="22"/>
        </w:rPr>
        <w:t>Primeras Respuestas (1917-1960) Tras la identificación del HACRE por Goyenechea y Pusso, se iniciaron estudios epidemiológicos locales sin límites normativos formales. En 1961, el Código Alimentario Argentino (CAA) estableció un primer parámetro de 0,20 mg/l de arsénico, basado en conocimientos iniciales limitados.</w:t>
      </w:r>
    </w:p>
    <w:p w14:paraId="352394DE" w14:textId="77777777" w:rsidR="0092743F" w:rsidRPr="0092743F" w:rsidRDefault="0092743F" w:rsidP="0092743F">
      <w:pPr>
        <w:pStyle w:val="Sinespaciado"/>
        <w:tabs>
          <w:tab w:val="left" w:pos="1828"/>
        </w:tabs>
        <w:jc w:val="both"/>
        <w:rPr>
          <w:b/>
          <w:bCs/>
          <w:sz w:val="22"/>
          <w:szCs w:val="22"/>
        </w:rPr>
      </w:pPr>
      <w:r w:rsidRPr="0092743F">
        <w:rPr>
          <w:b/>
          <w:bCs/>
          <w:sz w:val="22"/>
          <w:szCs w:val="22"/>
        </w:rPr>
        <w:t xml:space="preserve">Reducciones Progresivas (1970-1990). </w:t>
      </w:r>
    </w:p>
    <w:p w14:paraId="3112D620" w14:textId="77777777" w:rsidR="0092743F" w:rsidRPr="0092743F" w:rsidRDefault="0092743F" w:rsidP="0092743F">
      <w:pPr>
        <w:pStyle w:val="Sinespaciado"/>
        <w:tabs>
          <w:tab w:val="left" w:pos="1828"/>
        </w:tabs>
        <w:jc w:val="both"/>
        <w:rPr>
          <w:sz w:val="22"/>
          <w:szCs w:val="22"/>
        </w:rPr>
      </w:pPr>
      <w:r w:rsidRPr="0092743F">
        <w:rPr>
          <w:sz w:val="22"/>
          <w:szCs w:val="22"/>
        </w:rPr>
        <w:t xml:space="preserve">En 1971 se bajó a 0,10 mg/l y en 1982 a 0,05 mg/l, alineándose con estándares internacionales preliminares, aunque sin tecnologías viables de remoción masiva. Durante esta etapa predominaron campañas de monitoreo y perforaciones más profundas en zonas endémicas. </w:t>
      </w:r>
    </w:p>
    <w:p w14:paraId="3AAD5C6C" w14:textId="77777777" w:rsidR="0092743F" w:rsidRPr="0092743F" w:rsidRDefault="0092743F" w:rsidP="0092743F">
      <w:pPr>
        <w:pStyle w:val="Sinespaciado"/>
        <w:tabs>
          <w:tab w:val="left" w:pos="1828"/>
        </w:tabs>
        <w:jc w:val="both"/>
        <w:rPr>
          <w:b/>
          <w:bCs/>
          <w:sz w:val="22"/>
          <w:szCs w:val="22"/>
        </w:rPr>
      </w:pPr>
      <w:r w:rsidRPr="0092743F">
        <w:rPr>
          <w:b/>
          <w:bCs/>
          <w:sz w:val="22"/>
          <w:szCs w:val="22"/>
        </w:rPr>
        <w:t>Adopción del Estándar OMS (2000-Actualidad)</w:t>
      </w:r>
    </w:p>
    <w:p w14:paraId="27BF6A10" w14:textId="77777777" w:rsidR="0092743F" w:rsidRPr="0092743F" w:rsidRDefault="0092743F" w:rsidP="0092743F">
      <w:pPr>
        <w:pStyle w:val="Sinespaciado"/>
        <w:tabs>
          <w:tab w:val="left" w:pos="1828"/>
        </w:tabs>
        <w:jc w:val="both"/>
        <w:rPr>
          <w:sz w:val="22"/>
          <w:szCs w:val="22"/>
        </w:rPr>
      </w:pPr>
      <w:r w:rsidRPr="0092743F">
        <w:rPr>
          <w:sz w:val="22"/>
          <w:szCs w:val="22"/>
        </w:rPr>
        <w:t xml:space="preserve">En 2007, las Resoluciones Conjuntas 68/2007 y 196/2007 fijaron 0,01 mg/l como meta obligatoria (siguiendo la OMS de 1993), con prórrogas sucesivas (2012, 2019, 2023) permitiendo excepciones hasta 0,05 mg/l en regiones geológicamente afectadas, condicionadas a estudios pendientes y desarrollo de ósmosis inversa. </w:t>
      </w:r>
    </w:p>
    <w:p w14:paraId="75549E95" w14:textId="77777777" w:rsidR="0092743F" w:rsidRPr="0092743F" w:rsidRDefault="0092743F" w:rsidP="0092743F">
      <w:pPr>
        <w:pStyle w:val="Sinespaciado"/>
        <w:tabs>
          <w:tab w:val="left" w:pos="1828"/>
        </w:tabs>
        <w:jc w:val="both"/>
        <w:rPr>
          <w:sz w:val="22"/>
          <w:szCs w:val="22"/>
        </w:rPr>
      </w:pPr>
      <w:r w:rsidRPr="0092743F">
        <w:rPr>
          <w:sz w:val="22"/>
          <w:szCs w:val="22"/>
        </w:rPr>
        <w:t>Esto deja claramente expuesto las responsabilidades compartidas de los distintos gobiernos municipales que han transcurrido en todo este tiempo, y atentos a que el actual Intendente ya lleva 10 años en funciones y asumió conociendo dicha problemática, su irresponsabilidad es flagrante.</w:t>
      </w:r>
    </w:p>
    <w:p w14:paraId="4A54B1DD" w14:textId="1C0969A2" w:rsidR="0092743F" w:rsidRPr="0092743F" w:rsidRDefault="0092743F" w:rsidP="0092743F">
      <w:pPr>
        <w:pStyle w:val="Sinespaciado"/>
        <w:tabs>
          <w:tab w:val="left" w:pos="1828"/>
        </w:tabs>
        <w:jc w:val="both"/>
        <w:rPr>
          <w:sz w:val="22"/>
          <w:szCs w:val="22"/>
        </w:rPr>
      </w:pPr>
      <w:r w:rsidRPr="0092743F">
        <w:rPr>
          <w:sz w:val="22"/>
          <w:szCs w:val="22"/>
        </w:rPr>
        <w:t>La jurisprudencia provincial confirma que en Lobos no tenemos agua potable de acuerdo con los valores de arsénico encontrados en los análisis de laboratorio oficiales y particulares.</w:t>
      </w:r>
    </w:p>
    <w:p w14:paraId="2E384F51" w14:textId="77777777" w:rsidR="0092743F" w:rsidRPr="0092743F" w:rsidRDefault="0092743F" w:rsidP="0092743F">
      <w:pPr>
        <w:pStyle w:val="Sinespaciado"/>
        <w:tabs>
          <w:tab w:val="left" w:pos="1828"/>
        </w:tabs>
        <w:jc w:val="both"/>
        <w:rPr>
          <w:sz w:val="22"/>
          <w:szCs w:val="22"/>
        </w:rPr>
      </w:pPr>
      <w:r w:rsidRPr="0092743F">
        <w:rPr>
          <w:sz w:val="22"/>
          <w:szCs w:val="22"/>
        </w:rPr>
        <w:t>La Suprema Corte de Justicia de la Provincia de Buenos Aires (SCBA) sentó jurisprudencia en fallos como la Causa A 76.096 (“Caselles”) sobre el servicio de agua potable en Chivilcoy, estableciendo que el límite de 0,01 mg/l (10 µg/l) de arsénico dispuesto por el Código Alimentario Argentino (CAA) es el parámetro máximo aceptable y obligatorio para el agua de consumo humano en territorio bonaerense.</w:t>
      </w:r>
    </w:p>
    <w:p w14:paraId="41479CB5" w14:textId="77777777" w:rsidR="0092743F" w:rsidRPr="0092743F" w:rsidRDefault="0092743F" w:rsidP="0092743F">
      <w:pPr>
        <w:pStyle w:val="Sinespaciado"/>
        <w:tabs>
          <w:tab w:val="left" w:pos="1828"/>
        </w:tabs>
        <w:jc w:val="both"/>
        <w:rPr>
          <w:b/>
          <w:bCs/>
          <w:sz w:val="22"/>
          <w:szCs w:val="22"/>
        </w:rPr>
      </w:pPr>
      <w:r w:rsidRPr="0092743F">
        <w:rPr>
          <w:b/>
          <w:bCs/>
          <w:sz w:val="22"/>
          <w:szCs w:val="22"/>
        </w:rPr>
        <w:t>Detalles del Fallo Principal</w:t>
      </w:r>
    </w:p>
    <w:p w14:paraId="7353B420" w14:textId="77777777" w:rsidR="0092743F" w:rsidRPr="0092743F" w:rsidRDefault="0092743F" w:rsidP="0092743F">
      <w:pPr>
        <w:pStyle w:val="Sinespaciado"/>
        <w:tabs>
          <w:tab w:val="left" w:pos="1828"/>
        </w:tabs>
        <w:jc w:val="both"/>
        <w:rPr>
          <w:sz w:val="22"/>
          <w:szCs w:val="22"/>
        </w:rPr>
      </w:pPr>
      <w:r w:rsidRPr="0092743F">
        <w:rPr>
          <w:sz w:val="22"/>
          <w:szCs w:val="22"/>
        </w:rPr>
        <w:t>En este precedente, la Corte rechazó argumentos de ABSA que invocaban excepciones transitorias o normativas provinciales desactualizadas permitiendo hasta 0,05 mg/l, priorizando el CAA y recomendaciones de la OMS. Obligó a la empresa a implementar tratamientos como ósmosis inversa para cumplir estrictamente con 0,01 mg/l, sin excepciones indefinidas.</w:t>
      </w:r>
    </w:p>
    <w:p w14:paraId="6D3230CD" w14:textId="77777777" w:rsidR="0092743F" w:rsidRPr="0092743F" w:rsidRDefault="0092743F" w:rsidP="0092743F">
      <w:pPr>
        <w:pStyle w:val="Sinespaciado"/>
        <w:tabs>
          <w:tab w:val="left" w:pos="1828"/>
        </w:tabs>
        <w:jc w:val="both"/>
        <w:rPr>
          <w:b/>
          <w:bCs/>
          <w:sz w:val="22"/>
          <w:szCs w:val="22"/>
        </w:rPr>
      </w:pPr>
      <w:r w:rsidRPr="0092743F">
        <w:rPr>
          <w:b/>
          <w:bCs/>
          <w:sz w:val="22"/>
          <w:szCs w:val="22"/>
        </w:rPr>
        <w:t>Impacto como Jurisprudencia</w:t>
      </w:r>
    </w:p>
    <w:p w14:paraId="39870802" w14:textId="77777777" w:rsidR="0092743F" w:rsidRPr="0092743F" w:rsidRDefault="0092743F" w:rsidP="0092743F">
      <w:pPr>
        <w:pStyle w:val="Sinespaciado"/>
        <w:tabs>
          <w:tab w:val="left" w:pos="1828"/>
        </w:tabs>
        <w:jc w:val="both"/>
        <w:rPr>
          <w:sz w:val="22"/>
          <w:szCs w:val="22"/>
        </w:rPr>
      </w:pPr>
      <w:r w:rsidRPr="0092743F">
        <w:rPr>
          <w:sz w:val="22"/>
          <w:szCs w:val="22"/>
        </w:rPr>
        <w:t>El fallo, confirmado en 2025, marca que el derecho humano al agua potable segura prevalece sobre excusas económicas o geológicas, aplicable a toda la provincia. Refuerza controles bimestrales públicos por organismos como OCABA o el laboratorio Bromatológico Municipal y sienta base para demandas similares en distritos endémicos, Lobos entre ellos.</w:t>
      </w:r>
    </w:p>
    <w:p w14:paraId="15AFB7FC" w14:textId="43116ADF" w:rsidR="00DE1118" w:rsidRPr="0092743F" w:rsidRDefault="0092743F" w:rsidP="0092743F">
      <w:pPr>
        <w:pStyle w:val="Sinespaciado"/>
        <w:tabs>
          <w:tab w:val="left" w:pos="1828"/>
        </w:tabs>
        <w:jc w:val="both"/>
        <w:rPr>
          <w:sz w:val="22"/>
          <w:szCs w:val="22"/>
        </w:rPr>
      </w:pPr>
      <w:r w:rsidRPr="0092743F">
        <w:rPr>
          <w:sz w:val="22"/>
          <w:szCs w:val="22"/>
        </w:rPr>
        <w:t>Desde la Multisectorial Lobos como institución civil, nos hicimos cargo de nuestra responsabilidad como integrantes de la comunidad, ejercer nuestro derecho y cumplir con la obligación ciudadana de reclamar a nuestras autoridades que prioricen la solución de este grave problema que nos afecta absolutamente a todos e invitamos a los vecinos a que hagan su parte, si es que verdaderamente les preocupa la salud propia y de sus familias.</w:t>
      </w:r>
    </w:p>
    <w:p w14:paraId="35E1086F" w14:textId="77777777" w:rsidR="0092743F" w:rsidRPr="0092743F" w:rsidRDefault="0092743F" w:rsidP="0092743F">
      <w:pPr>
        <w:pStyle w:val="Sinespaciado"/>
        <w:tabs>
          <w:tab w:val="left" w:pos="1828"/>
        </w:tabs>
        <w:jc w:val="both"/>
        <w:rPr>
          <w:sz w:val="22"/>
          <w:szCs w:val="22"/>
        </w:rPr>
      </w:pPr>
    </w:p>
    <w:p w14:paraId="29986B00" w14:textId="00747B4D" w:rsidR="0092743F" w:rsidRPr="00A15AFB" w:rsidRDefault="007D4E2B" w:rsidP="00064787">
      <w:pPr>
        <w:jc w:val="center"/>
        <w:rPr>
          <w:b/>
          <w:bCs/>
          <w:sz w:val="32"/>
          <w:szCs w:val="32"/>
        </w:rPr>
      </w:pPr>
      <w:r w:rsidRPr="0092743F">
        <w:rPr>
          <w:b/>
          <w:bCs/>
          <w:sz w:val="40"/>
          <w:szCs w:val="40"/>
        </w:rPr>
        <w:t xml:space="preserve">ASOCIACIÓN CIVIL </w:t>
      </w:r>
      <w:r w:rsidR="00E457C6" w:rsidRPr="0092743F">
        <w:rPr>
          <w:b/>
          <w:bCs/>
          <w:sz w:val="40"/>
          <w:szCs w:val="40"/>
        </w:rPr>
        <w:t>MULTISECTORIAL LOBOS</w:t>
      </w:r>
      <w:r w:rsidR="007A2C8C" w:rsidRPr="0092743F">
        <w:rPr>
          <w:b/>
          <w:bCs/>
          <w:sz w:val="32"/>
          <w:szCs w:val="32"/>
        </w:rPr>
        <w:t xml:space="preserve"> </w:t>
      </w:r>
      <w:r w:rsidR="0092743F" w:rsidRPr="0092743F">
        <w:rPr>
          <w:b/>
          <w:bCs/>
          <w:color w:val="FF0000"/>
          <w:sz w:val="28"/>
          <w:szCs w:val="28"/>
        </w:rPr>
        <w:t>BASTA DE ARSÉNICO EN EL AGUA</w:t>
      </w:r>
    </w:p>
    <w:sectPr w:rsidR="0092743F" w:rsidRPr="00A15AFB">
      <w:head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B862A" w14:textId="77777777" w:rsidR="00FE2192" w:rsidRDefault="00FE2192" w:rsidP="00E457C6">
      <w:pPr>
        <w:spacing w:after="0" w:line="240" w:lineRule="auto"/>
      </w:pPr>
      <w:r>
        <w:separator/>
      </w:r>
    </w:p>
  </w:endnote>
  <w:endnote w:type="continuationSeparator" w:id="0">
    <w:p w14:paraId="796BD32B" w14:textId="77777777" w:rsidR="00FE2192" w:rsidRDefault="00FE2192" w:rsidP="00E4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97FF" w14:textId="77777777" w:rsidR="00FE2192" w:rsidRDefault="00FE2192" w:rsidP="00E457C6">
      <w:pPr>
        <w:spacing w:after="0" w:line="240" w:lineRule="auto"/>
      </w:pPr>
      <w:r>
        <w:separator/>
      </w:r>
    </w:p>
  </w:footnote>
  <w:footnote w:type="continuationSeparator" w:id="0">
    <w:p w14:paraId="38758CA7" w14:textId="77777777" w:rsidR="00FE2192" w:rsidRDefault="00FE2192" w:rsidP="00E4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E37B" w14:textId="0F0D4E38" w:rsidR="00E457C6" w:rsidRDefault="00E457C6">
    <w:pPr>
      <w:pStyle w:val="Encabezado"/>
    </w:pPr>
    <w:r>
      <w:rPr>
        <w:noProof/>
      </w:rPr>
      <w:drawing>
        <wp:anchor distT="0" distB="0" distL="114300" distR="114300" simplePos="0" relativeHeight="251659264" behindDoc="1" locked="0" layoutInCell="1" allowOverlap="1" wp14:anchorId="0C7E6103" wp14:editId="6FB518D6">
          <wp:simplePos x="0" y="0"/>
          <wp:positionH relativeFrom="column">
            <wp:posOffset>88403</wp:posOffset>
          </wp:positionH>
          <wp:positionV relativeFrom="paragraph">
            <wp:posOffset>-425340</wp:posOffset>
          </wp:positionV>
          <wp:extent cx="1288111" cy="1309579"/>
          <wp:effectExtent l="0" t="0" r="7620" b="5080"/>
          <wp:wrapNone/>
          <wp:docPr id="144580357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0254" name="Imagen 1" descr="Logotipo&#10;&#10;Descripción generada automáticamente"/>
                  <pic:cNvPicPr/>
                </pic:nvPicPr>
                <pic:blipFill rotWithShape="1">
                  <a:blip r:embed="rId1" cstate="print">
                    <a:extLst>
                      <a:ext uri="{28A0092B-C50C-407E-A947-70E740481C1C}">
                        <a14:useLocalDpi xmlns:a14="http://schemas.microsoft.com/office/drawing/2010/main" val="0"/>
                      </a:ext>
                    </a:extLst>
                  </a:blip>
                  <a:srcRect t="18976"/>
                  <a:stretch/>
                </pic:blipFill>
                <pic:spPr bwMode="auto">
                  <a:xfrm>
                    <a:off x="0" y="0"/>
                    <a:ext cx="1288111" cy="13095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0FA0" w14:textId="37CFA023" w:rsidR="00A15AFB" w:rsidRDefault="00A15A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43107"/>
    <w:multiLevelType w:val="hybridMultilevel"/>
    <w:tmpl w:val="FFFFFFFF"/>
    <w:lvl w:ilvl="0" w:tplc="FFFFFFF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15:restartNumberingAfterBreak="0">
    <w:nsid w:val="1B996560"/>
    <w:multiLevelType w:val="hybridMultilevel"/>
    <w:tmpl w:val="FFFFFFFF"/>
    <w:lvl w:ilvl="0" w:tplc="FFFFFFF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24B0233A"/>
    <w:multiLevelType w:val="hybridMultilevel"/>
    <w:tmpl w:val="FFFFFFFF"/>
    <w:lvl w:ilvl="0" w:tplc="FFFFFFF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56F0771C"/>
    <w:multiLevelType w:val="hybridMultilevel"/>
    <w:tmpl w:val="FFFFFFFF"/>
    <w:lvl w:ilvl="0" w:tplc="FFFFFFF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656D4B39"/>
    <w:multiLevelType w:val="hybridMultilevel"/>
    <w:tmpl w:val="FFFFFFFF"/>
    <w:lvl w:ilvl="0" w:tplc="FFFFFFF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16cid:durableId="1083063662">
    <w:abstractNumId w:val="3"/>
  </w:num>
  <w:num w:numId="2" w16cid:durableId="1459839426">
    <w:abstractNumId w:val="0"/>
  </w:num>
  <w:num w:numId="3" w16cid:durableId="624429358">
    <w:abstractNumId w:val="1"/>
  </w:num>
  <w:num w:numId="4" w16cid:durableId="1342270204">
    <w:abstractNumId w:val="4"/>
  </w:num>
  <w:num w:numId="5" w16cid:durableId="549658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3"/>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C8C"/>
    <w:rsid w:val="00051E58"/>
    <w:rsid w:val="000834D7"/>
    <w:rsid w:val="000E1778"/>
    <w:rsid w:val="000F1211"/>
    <w:rsid w:val="00110E7C"/>
    <w:rsid w:val="00134DE2"/>
    <w:rsid w:val="00144664"/>
    <w:rsid w:val="00180404"/>
    <w:rsid w:val="001F720D"/>
    <w:rsid w:val="0020553D"/>
    <w:rsid w:val="002245E3"/>
    <w:rsid w:val="00226165"/>
    <w:rsid w:val="0023567B"/>
    <w:rsid w:val="003005FE"/>
    <w:rsid w:val="003068FE"/>
    <w:rsid w:val="00312399"/>
    <w:rsid w:val="00375B61"/>
    <w:rsid w:val="003821BF"/>
    <w:rsid w:val="003932E1"/>
    <w:rsid w:val="00450AE0"/>
    <w:rsid w:val="0048004C"/>
    <w:rsid w:val="004926D5"/>
    <w:rsid w:val="004978D4"/>
    <w:rsid w:val="0050706C"/>
    <w:rsid w:val="00533C7B"/>
    <w:rsid w:val="005855C7"/>
    <w:rsid w:val="005B67F9"/>
    <w:rsid w:val="005E4D37"/>
    <w:rsid w:val="005E658E"/>
    <w:rsid w:val="005E7916"/>
    <w:rsid w:val="00613D0B"/>
    <w:rsid w:val="00640139"/>
    <w:rsid w:val="00674100"/>
    <w:rsid w:val="00684123"/>
    <w:rsid w:val="00693387"/>
    <w:rsid w:val="00723AC1"/>
    <w:rsid w:val="0075299A"/>
    <w:rsid w:val="007A2C8C"/>
    <w:rsid w:val="007D4E2B"/>
    <w:rsid w:val="007D5049"/>
    <w:rsid w:val="007D6BC7"/>
    <w:rsid w:val="007F1013"/>
    <w:rsid w:val="007F3E23"/>
    <w:rsid w:val="008250E4"/>
    <w:rsid w:val="008C0CED"/>
    <w:rsid w:val="008E092D"/>
    <w:rsid w:val="008F46F2"/>
    <w:rsid w:val="00912044"/>
    <w:rsid w:val="0092743F"/>
    <w:rsid w:val="00971212"/>
    <w:rsid w:val="0099490D"/>
    <w:rsid w:val="009E5205"/>
    <w:rsid w:val="00A12877"/>
    <w:rsid w:val="00A15AFB"/>
    <w:rsid w:val="00A34E71"/>
    <w:rsid w:val="00A37CBB"/>
    <w:rsid w:val="00A50247"/>
    <w:rsid w:val="00A558A2"/>
    <w:rsid w:val="00AC4D38"/>
    <w:rsid w:val="00AF570F"/>
    <w:rsid w:val="00AF6437"/>
    <w:rsid w:val="00B27617"/>
    <w:rsid w:val="00B31607"/>
    <w:rsid w:val="00B41104"/>
    <w:rsid w:val="00B7394D"/>
    <w:rsid w:val="00BD1853"/>
    <w:rsid w:val="00C271DD"/>
    <w:rsid w:val="00C366EA"/>
    <w:rsid w:val="00C73B64"/>
    <w:rsid w:val="00C7758E"/>
    <w:rsid w:val="00C825C7"/>
    <w:rsid w:val="00C973B0"/>
    <w:rsid w:val="00CB3297"/>
    <w:rsid w:val="00D45E1E"/>
    <w:rsid w:val="00D659E8"/>
    <w:rsid w:val="00DA318E"/>
    <w:rsid w:val="00DE1118"/>
    <w:rsid w:val="00E1733F"/>
    <w:rsid w:val="00E40E64"/>
    <w:rsid w:val="00E437EE"/>
    <w:rsid w:val="00E457C6"/>
    <w:rsid w:val="00E66DED"/>
    <w:rsid w:val="00E67E3F"/>
    <w:rsid w:val="00EC4559"/>
    <w:rsid w:val="00F46DE4"/>
    <w:rsid w:val="00F94796"/>
    <w:rsid w:val="00FA59B1"/>
    <w:rsid w:val="00FB1F2F"/>
    <w:rsid w:val="00FE2192"/>
    <w:rsid w:val="00FF265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499E3"/>
  <w15:chartTrackingRefBased/>
  <w15:docId w15:val="{88BC400D-DC14-3A47-A144-37A422D2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A2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A2C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A2C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2C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2C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C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C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C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C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A2C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A2C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A2C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2C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2C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C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C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C8C"/>
    <w:rPr>
      <w:rFonts w:eastAsiaTheme="majorEastAsia" w:cstheme="majorBidi"/>
      <w:color w:val="272727" w:themeColor="text1" w:themeTint="D8"/>
    </w:rPr>
  </w:style>
  <w:style w:type="paragraph" w:styleId="Ttulo">
    <w:name w:val="Title"/>
    <w:basedOn w:val="Normal"/>
    <w:next w:val="Normal"/>
    <w:link w:val="TtuloCar"/>
    <w:uiPriority w:val="10"/>
    <w:qFormat/>
    <w:rsid w:val="007A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C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C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C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C8C"/>
    <w:pPr>
      <w:spacing w:before="160"/>
      <w:jc w:val="center"/>
    </w:pPr>
    <w:rPr>
      <w:i/>
      <w:iCs/>
      <w:color w:val="404040" w:themeColor="text1" w:themeTint="BF"/>
    </w:rPr>
  </w:style>
  <w:style w:type="character" w:customStyle="1" w:styleId="CitaCar">
    <w:name w:val="Cita Car"/>
    <w:basedOn w:val="Fuentedeprrafopredeter"/>
    <w:link w:val="Cita"/>
    <w:uiPriority w:val="29"/>
    <w:rsid w:val="007A2C8C"/>
    <w:rPr>
      <w:i/>
      <w:iCs/>
      <w:color w:val="404040" w:themeColor="text1" w:themeTint="BF"/>
    </w:rPr>
  </w:style>
  <w:style w:type="paragraph" w:styleId="Prrafodelista">
    <w:name w:val="List Paragraph"/>
    <w:basedOn w:val="Normal"/>
    <w:uiPriority w:val="34"/>
    <w:qFormat/>
    <w:rsid w:val="007A2C8C"/>
    <w:pPr>
      <w:ind w:left="720"/>
      <w:contextualSpacing/>
    </w:pPr>
  </w:style>
  <w:style w:type="character" w:styleId="nfasisintenso">
    <w:name w:val="Intense Emphasis"/>
    <w:basedOn w:val="Fuentedeprrafopredeter"/>
    <w:uiPriority w:val="21"/>
    <w:qFormat/>
    <w:rsid w:val="007A2C8C"/>
    <w:rPr>
      <w:i/>
      <w:iCs/>
      <w:color w:val="0F4761" w:themeColor="accent1" w:themeShade="BF"/>
    </w:rPr>
  </w:style>
  <w:style w:type="paragraph" w:styleId="Citadestacada">
    <w:name w:val="Intense Quote"/>
    <w:basedOn w:val="Normal"/>
    <w:next w:val="Normal"/>
    <w:link w:val="CitadestacadaCar"/>
    <w:uiPriority w:val="30"/>
    <w:qFormat/>
    <w:rsid w:val="007A2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2C8C"/>
    <w:rPr>
      <w:i/>
      <w:iCs/>
      <w:color w:val="0F4761" w:themeColor="accent1" w:themeShade="BF"/>
    </w:rPr>
  </w:style>
  <w:style w:type="character" w:styleId="Referenciaintensa">
    <w:name w:val="Intense Reference"/>
    <w:basedOn w:val="Fuentedeprrafopredeter"/>
    <w:uiPriority w:val="32"/>
    <w:qFormat/>
    <w:rsid w:val="007A2C8C"/>
    <w:rPr>
      <w:b/>
      <w:bCs/>
      <w:smallCaps/>
      <w:color w:val="0F4761" w:themeColor="accent1" w:themeShade="BF"/>
      <w:spacing w:val="5"/>
    </w:rPr>
  </w:style>
  <w:style w:type="paragraph" w:styleId="Encabezado">
    <w:name w:val="header"/>
    <w:basedOn w:val="Normal"/>
    <w:link w:val="EncabezadoCar"/>
    <w:uiPriority w:val="99"/>
    <w:unhideWhenUsed/>
    <w:rsid w:val="00E457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57C6"/>
  </w:style>
  <w:style w:type="paragraph" w:styleId="Piedepgina">
    <w:name w:val="footer"/>
    <w:basedOn w:val="Normal"/>
    <w:link w:val="PiedepginaCar"/>
    <w:uiPriority w:val="99"/>
    <w:unhideWhenUsed/>
    <w:rsid w:val="00E457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57C6"/>
  </w:style>
  <w:style w:type="paragraph" w:styleId="Sinespaciado">
    <w:name w:val="No Spacing"/>
    <w:uiPriority w:val="1"/>
    <w:qFormat/>
    <w:rsid w:val="00E457C6"/>
    <w:pPr>
      <w:spacing w:after="0" w:line="240" w:lineRule="auto"/>
    </w:pPr>
  </w:style>
  <w:style w:type="character" w:styleId="Textoennegrita">
    <w:name w:val="Strong"/>
    <w:basedOn w:val="Fuentedeprrafopredeter"/>
    <w:uiPriority w:val="22"/>
    <w:qFormat/>
    <w:rsid w:val="00A34E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922058">
      <w:bodyDiv w:val="1"/>
      <w:marLeft w:val="0"/>
      <w:marRight w:val="0"/>
      <w:marTop w:val="0"/>
      <w:marBottom w:val="0"/>
      <w:divBdr>
        <w:top w:val="none" w:sz="0" w:space="0" w:color="auto"/>
        <w:left w:val="none" w:sz="0" w:space="0" w:color="auto"/>
        <w:bottom w:val="none" w:sz="0" w:space="0" w:color="auto"/>
        <w:right w:val="none" w:sz="0" w:space="0" w:color="auto"/>
      </w:divBdr>
    </w:div>
    <w:div w:id="538126931">
      <w:bodyDiv w:val="1"/>
      <w:marLeft w:val="0"/>
      <w:marRight w:val="0"/>
      <w:marTop w:val="0"/>
      <w:marBottom w:val="0"/>
      <w:divBdr>
        <w:top w:val="none" w:sz="0" w:space="0" w:color="auto"/>
        <w:left w:val="none" w:sz="0" w:space="0" w:color="auto"/>
        <w:bottom w:val="none" w:sz="0" w:space="0" w:color="auto"/>
        <w:right w:val="none" w:sz="0" w:space="0" w:color="auto"/>
      </w:divBdr>
    </w:div>
    <w:div w:id="735739350">
      <w:bodyDiv w:val="1"/>
      <w:marLeft w:val="0"/>
      <w:marRight w:val="0"/>
      <w:marTop w:val="0"/>
      <w:marBottom w:val="0"/>
      <w:divBdr>
        <w:top w:val="none" w:sz="0" w:space="0" w:color="auto"/>
        <w:left w:val="none" w:sz="0" w:space="0" w:color="auto"/>
        <w:bottom w:val="none" w:sz="0" w:space="0" w:color="auto"/>
        <w:right w:val="none" w:sz="0" w:space="0" w:color="auto"/>
      </w:divBdr>
    </w:div>
    <w:div w:id="11381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1206</Words>
  <Characters>6636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Vassaro</dc:creator>
  <cp:keywords/>
  <dc:description/>
  <cp:lastModifiedBy>Marcelo Vassaro</cp:lastModifiedBy>
  <cp:revision>2</cp:revision>
  <cp:lastPrinted>2024-10-01T03:19:00Z</cp:lastPrinted>
  <dcterms:created xsi:type="dcterms:W3CDTF">2026-01-07T13:47:00Z</dcterms:created>
  <dcterms:modified xsi:type="dcterms:W3CDTF">2026-01-07T13:47:00Z</dcterms:modified>
</cp:coreProperties>
</file>